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z1lzpxy9igz2" w:id="0"/>
    <w:bookmarkEnd w:id="0"/>
    <w:p w:rsidR="00000000" w:rsidDel="00000000" w:rsidP="00000000" w:rsidRDefault="00000000" w:rsidRPr="00000000" w14:paraId="00000001">
      <w:pPr>
        <w:rPr>
          <w:b w:val="1"/>
        </w:rPr>
      </w:pPr>
      <w:r w:rsidDel="00000000" w:rsidR="00000000" w:rsidRPr="00000000">
        <w:rPr>
          <w:b w:val="1"/>
          <w:rtl w:val="0"/>
        </w:rPr>
        <w:t xml:space="preserve">Chair of the Society for Existential Analysis: Volunteer Opportunity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Are you passionate about existential thought, psychotherapy, and making a meaningful impact in the world of mental health? The Society for Existential Analysis (SEA) is seeking an inspiring and committed individual to serve as our next Chair.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About the Role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As Chair, you will lead a vibrant, values-driven charity dedicated to advancing public education and research in existential analysis and therapy. You will provide inclusive leadership to our Board of Trustees, ensuring effective governance and strategic direction, and act as a key representative of the Society with a wide range of associated groups such as psychotherapy training organisations, governance institutions (such as UKCP) and affiliate societies (such as FETE).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Benefits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Shape the Field:</w:t>
      </w:r>
      <w:r w:rsidDel="00000000" w:rsidR="00000000" w:rsidRPr="00000000">
        <w:rPr>
          <w:rtl w:val="0"/>
        </w:rPr>
        <w:t xml:space="preserve"> Play a pivotal role in shaping the future of existential therapy and thought in the UK and internationally.</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Community Leadership:</w:t>
      </w:r>
      <w:r w:rsidDel="00000000" w:rsidR="00000000" w:rsidRPr="00000000">
        <w:rPr>
          <w:rtl w:val="0"/>
        </w:rPr>
        <w:t xml:space="preserve"> Lead a respected, international community of therapists, scholars, and thinkers.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Professional Growth:</w:t>
      </w:r>
      <w:r w:rsidDel="00000000" w:rsidR="00000000" w:rsidRPr="00000000">
        <w:rPr>
          <w:rtl w:val="0"/>
        </w:rPr>
        <w:t xml:space="preserve"> Gain valuable leadership, governance, and networking experience.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Make an Impact:</w:t>
      </w:r>
      <w:r w:rsidDel="00000000" w:rsidR="00000000" w:rsidRPr="00000000">
        <w:rPr>
          <w:rtl w:val="0"/>
        </w:rPr>
        <w:t xml:space="preserve"> Support education, research, and practitioner development in existential analysis, making a tangible difference in people’s lives.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Expand Your Network:</w:t>
      </w:r>
      <w:r w:rsidDel="00000000" w:rsidR="00000000" w:rsidRPr="00000000">
        <w:rPr>
          <w:rtl w:val="0"/>
        </w:rPr>
        <w:t xml:space="preserve"> Collaborate with leading figures in psychotherapy, philosophy, and mental health.</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Key Responsibilities</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 Provide inclusive leadership and strategic direction to the Board of Trustees, ensuring effective governance and advancing the Society’s mission of promoting existential therapy, fostering research, and supporting public education.</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 Chair meetings of the Executive Committee (usually monthly), the Annual General Meeting (AGM), and other key events, ensuring robust, collaborative decision-making and representing the SEA to members and the wider community.</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 Represent the SEA at events, conferences, and in meetings with key stakeholders, including the UK Council for Psychotherapy (UKCP) and the Constructivist and Existential College (CEC), maintaining the Society’s role as an accrediting and registering body and supporting professional development for existential therapists.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 Oversee and support the organisation across its various channels, including monitoring the work of Committee and Sub-Committee members, providing guidance, and fostering a culture of pluralism and inclusion.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 Respond to member correspondence, addressing suggestions, queries, and complaints to ensure an engaged and responsive community.</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 Communicate outcomes and feedback from external meetings to the Committee and membership, ensuring transparency and alignment with procedures and guidelines.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 Write a welcome article for the Hermeneutic Circular twice a year to inform and inspire members.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 Manage technical issues related to the website, ensuring its proper functioning and overseeing necessary developments.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 Identify and promote future growth opportunities for the SEA, championing both current aims and new projects to advance existential analysis and therapy.</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shd w:fill="ffffff" w:val="clear"/>
        <w:jc w:val="both"/>
        <w:rPr>
          <w:rFonts w:ascii="Arial" w:cs="Arial" w:eastAsia="Arial" w:hAnsi="Arial"/>
          <w:color w:val="222222"/>
        </w:rPr>
      </w:pPr>
      <w:r w:rsidDel="00000000" w:rsidR="00000000" w:rsidRPr="00000000">
        <w:rPr>
          <w:rFonts w:ascii="Arial" w:cs="Arial" w:eastAsia="Arial" w:hAnsi="Arial"/>
          <w:b w:val="1"/>
          <w:color w:val="222222"/>
          <w:rtl w:val="0"/>
        </w:rPr>
        <w:t xml:space="preserve">Estimated time commitment:</w:t>
      </w:r>
      <w:r w:rsidDel="00000000" w:rsidR="00000000" w:rsidRPr="00000000">
        <w:rPr>
          <w:rFonts w:ascii="Arial" w:cs="Arial" w:eastAsia="Arial" w:hAnsi="Arial"/>
          <w:color w:val="222222"/>
          <w:rtl w:val="0"/>
        </w:rPr>
        <w:t xml:space="preserve"> 3–4 hours per week.</w:t>
      </w:r>
    </w:p>
    <w:p w:rsidR="00000000" w:rsidDel="00000000" w:rsidP="00000000" w:rsidRDefault="00000000" w:rsidRPr="00000000" w14:paraId="0000002A">
      <w:pPr>
        <w:shd w:fill="ffffff" w:val="clea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2B">
      <w:pPr>
        <w:shd w:fill="ffffff" w:val="clear"/>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Useful links:</w:t>
      </w:r>
    </w:p>
    <w:p w:rsidR="00000000" w:rsidDel="00000000" w:rsidP="00000000" w:rsidRDefault="00000000" w:rsidRPr="00000000" w14:paraId="0000002C">
      <w:pPr>
        <w:shd w:fill="ffffff" w:val="clea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2D">
      <w:pPr>
        <w:shd w:fill="ffffff" w:val="clear"/>
        <w:jc w:val="both"/>
        <w:rPr>
          <w:rFonts w:ascii="Arial" w:cs="Arial" w:eastAsia="Arial" w:hAnsi="Arial"/>
          <w:color w:val="222222"/>
        </w:rPr>
      </w:pPr>
      <w:hyperlink r:id="rId7">
        <w:r w:rsidDel="00000000" w:rsidR="00000000" w:rsidRPr="00000000">
          <w:rPr>
            <w:rFonts w:ascii="Arial" w:cs="Arial" w:eastAsia="Arial" w:hAnsi="Arial"/>
            <w:color w:val="1155cc"/>
            <w:u w:val="single"/>
            <w:rtl w:val="0"/>
          </w:rPr>
          <w:t xml:space="preserve">The essential trustee: what you need to know, what you need to do</w:t>
        </w:r>
      </w:hyperlink>
      <w:r w:rsidDel="00000000" w:rsidR="00000000" w:rsidRPr="00000000">
        <w:rPr>
          <w:rtl w:val="0"/>
        </w:rPr>
      </w:r>
    </w:p>
    <w:p w:rsidR="00000000" w:rsidDel="00000000" w:rsidP="00000000" w:rsidRDefault="00000000" w:rsidRPr="00000000" w14:paraId="0000002E">
      <w:pPr>
        <w:shd w:fill="ffffff" w:val="clea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2F">
      <w:pPr>
        <w:shd w:fill="ffffff" w:val="clear"/>
        <w:jc w:val="both"/>
        <w:rPr>
          <w:rFonts w:ascii="Arial" w:cs="Arial" w:eastAsia="Arial" w:hAnsi="Arial"/>
          <w:color w:val="222222"/>
        </w:rPr>
      </w:pPr>
      <w:hyperlink r:id="rId8">
        <w:r w:rsidDel="00000000" w:rsidR="00000000" w:rsidRPr="00000000">
          <w:rPr>
            <w:rFonts w:ascii="Arial" w:cs="Arial" w:eastAsia="Arial" w:hAnsi="Arial"/>
            <w:color w:val="1155cc"/>
            <w:u w:val="single"/>
            <w:rtl w:val="0"/>
          </w:rPr>
          <w:t xml:space="preserve">About UKCP</w:t>
        </w:r>
      </w:hyperlink>
      <w:r w:rsidDel="00000000" w:rsidR="00000000" w:rsidRPr="00000000">
        <w:rPr>
          <w:rtl w:val="0"/>
        </w:rPr>
      </w:r>
    </w:p>
    <w:p w:rsidR="00000000" w:rsidDel="00000000" w:rsidP="00000000" w:rsidRDefault="00000000" w:rsidRPr="00000000" w14:paraId="00000030">
      <w:pPr>
        <w:shd w:fill="ffffff" w:val="clea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31">
      <w:pPr>
        <w:shd w:fill="ffffff" w:val="clear"/>
        <w:jc w:val="both"/>
        <w:rPr>
          <w:rFonts w:ascii="Arial" w:cs="Arial" w:eastAsia="Arial" w:hAnsi="Arial"/>
          <w:color w:val="222222"/>
        </w:rPr>
      </w:pPr>
      <w:hyperlink r:id="rId9">
        <w:r w:rsidDel="00000000" w:rsidR="00000000" w:rsidRPr="00000000">
          <w:rPr>
            <w:rFonts w:ascii="Arial" w:cs="Arial" w:eastAsia="Arial" w:hAnsi="Arial"/>
            <w:color w:val="1155cc"/>
            <w:u w:val="single"/>
            <w:rtl w:val="0"/>
          </w:rPr>
          <w:t xml:space="preserve">About the Constructivist and Existential College</w:t>
        </w:r>
      </w:hyperlink>
      <w:r w:rsidDel="00000000" w:rsidR="00000000" w:rsidRPr="00000000">
        <w:rPr>
          <w:rtl w:val="0"/>
        </w:rPr>
      </w:r>
    </w:p>
    <w:p w:rsidR="00000000" w:rsidDel="00000000" w:rsidP="00000000" w:rsidRDefault="00000000" w:rsidRPr="00000000" w14:paraId="00000032">
      <w:pPr>
        <w:shd w:fill="ffffff" w:val="clear"/>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33">
      <w:pPr>
        <w:shd w:fill="ffffff" w:val="clear"/>
        <w:jc w:val="both"/>
        <w:rPr>
          <w:rFonts w:ascii="Arial" w:cs="Arial" w:eastAsia="Arial" w:hAnsi="Arial"/>
          <w:color w:val="222222"/>
        </w:rPr>
      </w:pPr>
      <w:hyperlink r:id="rId10">
        <w:r w:rsidDel="00000000" w:rsidR="00000000" w:rsidRPr="00000000">
          <w:rPr>
            <w:rFonts w:ascii="Arial" w:cs="Arial" w:eastAsia="Arial" w:hAnsi="Arial"/>
            <w:color w:val="1155cc"/>
            <w:u w:val="single"/>
            <w:rtl w:val="0"/>
          </w:rPr>
          <w:t xml:space="preserve">The Constitution of the SEA</w:t>
        </w:r>
      </w:hyperlink>
      <w:r w:rsidDel="00000000" w:rsidR="00000000" w:rsidRPr="00000000">
        <w:rPr>
          <w:rFonts w:ascii="Arial" w:cs="Arial" w:eastAsia="Arial" w:hAnsi="Arial"/>
          <w:color w:val="222222"/>
          <w:rtl w:val="0"/>
        </w:rPr>
        <w:t xml:space="preserve"> </w:t>
      </w: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sectPr>
      <w:head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Style w:val="Heading1"/>
      <w:keepNext w:val="0"/>
      <w:keepLines w:val="0"/>
      <w:spacing w:after="120" w:before="480" w:line="276" w:lineRule="auto"/>
      <w:jc w:val="right"/>
      <w:rPr/>
    </w:pPr>
    <w:bookmarkStart w:colFirst="0" w:colLast="0" w:name="_heading=h.lf96ww3z9bcf" w:id="1"/>
    <w:bookmarkEnd w:id="1"/>
    <w:r w:rsidDel="00000000" w:rsidR="00000000" w:rsidRPr="00000000">
      <w:rPr>
        <w:rFonts w:ascii="Arial" w:cs="Arial" w:eastAsia="Arial" w:hAnsi="Arial"/>
        <w:color w:val="000000"/>
      </w:rPr>
      <w:drawing>
        <wp:inline distB="114300" distT="114300" distL="114300" distR="114300">
          <wp:extent cx="1119188" cy="11191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9188" cy="1119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905C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905C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905C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905C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905C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905C6"/>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905C6"/>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905C6"/>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905C6"/>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905C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905C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905C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905C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905C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905C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905C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905C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905C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905C6"/>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905C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905C6"/>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905C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905C6"/>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8905C6"/>
    <w:rPr>
      <w:i w:val="1"/>
      <w:iCs w:val="1"/>
      <w:color w:val="404040" w:themeColor="text1" w:themeTint="0000BF"/>
    </w:rPr>
  </w:style>
  <w:style w:type="paragraph" w:styleId="ListParagraph">
    <w:name w:val="List Paragraph"/>
    <w:basedOn w:val="Normal"/>
    <w:uiPriority w:val="34"/>
    <w:qFormat w:val="1"/>
    <w:rsid w:val="008905C6"/>
    <w:pPr>
      <w:ind w:left="720"/>
      <w:contextualSpacing w:val="1"/>
    </w:pPr>
  </w:style>
  <w:style w:type="character" w:styleId="IntenseEmphasis">
    <w:name w:val="Intense Emphasis"/>
    <w:basedOn w:val="DefaultParagraphFont"/>
    <w:uiPriority w:val="21"/>
    <w:qFormat w:val="1"/>
    <w:rsid w:val="008905C6"/>
    <w:rPr>
      <w:i w:val="1"/>
      <w:iCs w:val="1"/>
      <w:color w:val="0f4761" w:themeColor="accent1" w:themeShade="0000BF"/>
    </w:rPr>
  </w:style>
  <w:style w:type="paragraph" w:styleId="IntenseQuote">
    <w:name w:val="Intense Quote"/>
    <w:basedOn w:val="Normal"/>
    <w:next w:val="Normal"/>
    <w:link w:val="IntenseQuoteChar"/>
    <w:uiPriority w:val="30"/>
    <w:qFormat w:val="1"/>
    <w:rsid w:val="008905C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905C6"/>
    <w:rPr>
      <w:i w:val="1"/>
      <w:iCs w:val="1"/>
      <w:color w:val="0f4761" w:themeColor="accent1" w:themeShade="0000BF"/>
    </w:rPr>
  </w:style>
  <w:style w:type="character" w:styleId="IntenseReference">
    <w:name w:val="Intense Reference"/>
    <w:basedOn w:val="DefaultParagraphFont"/>
    <w:uiPriority w:val="32"/>
    <w:qFormat w:val="1"/>
    <w:rsid w:val="008905C6"/>
    <w:rPr>
      <w:b w:val="1"/>
      <w:bCs w:val="1"/>
      <w:smallCaps w:val="1"/>
      <w:color w:val="0f4761" w:themeColor="accent1" w:themeShade="0000BF"/>
      <w:spacing w:val="5"/>
    </w:rPr>
  </w:style>
  <w:style w:type="character" w:styleId="Hyperlink">
    <w:name w:val="Hyperlink"/>
    <w:basedOn w:val="DefaultParagraphFont"/>
    <w:uiPriority w:val="99"/>
    <w:semiHidden w:val="1"/>
    <w:unhideWhenUsed w:val="1"/>
    <w:rsid w:val="00E92D1E"/>
    <w:rPr>
      <w:color w:val="0000ff"/>
      <w:u w:val="single"/>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existentialanalysis.org.uk/about-the-sea/sea-constitution/" TargetMode="External"/><Relationship Id="rId9" Type="http://schemas.openxmlformats.org/officeDocument/2006/relationships/hyperlink" Target="https://www.psychotherapy.org.uk/about-ukcp/how-we-are-structured/ukcp-colleges/constructivist-and-existential-colleg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the-essential-trustee-what-you-need-to-know-cc3/the-essential-trustee-what-you-need-to-know-what-you-need-to-do" TargetMode="External"/><Relationship Id="rId8" Type="http://schemas.openxmlformats.org/officeDocument/2006/relationships/hyperlink" Target="https://www.psychotherapy.org.uk/about-ukc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z3IsjHB9FqRqeSdg98h/k5tX1w==">CgMxLjAyD2lkLnoxbHpweHk5aWd6MjIOaC5sZjk2d3czejliY2Y4AHIhMVM5Z1Bpd08yem9qdzdsZ3JFb3pySVdYVExyaE1IM3Vh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2025-04-26T12:26:00Z</dcterms:created>
  <dc:creator>Emi Noyan</dc:creator>
</cp:coreProperties>
</file>